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0EA263F8"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008C6672" w:rsidRPr="00C94492">
        <w:rPr>
          <w:rFonts w:ascii="Book Antiqua" w:hAnsi="Book Antiqua"/>
          <w:b/>
          <w:sz w:val="24"/>
          <w:szCs w:val="24"/>
        </w:rPr>
        <w:t>“</w:t>
      </w:r>
      <w:r w:rsidR="008C6672" w:rsidRPr="00CD09DB">
        <w:rPr>
          <w:rFonts w:ascii="Book Antiqua" w:hAnsi="Book Antiqua"/>
          <w:b/>
          <w:sz w:val="24"/>
          <w:szCs w:val="24"/>
        </w:rPr>
        <w:t xml:space="preserve">Network Expansion Scheme in </w:t>
      </w:r>
      <w:proofErr w:type="spellStart"/>
      <w:r w:rsidR="008C6672" w:rsidRPr="00CD09DB">
        <w:rPr>
          <w:rFonts w:ascii="Book Antiqua" w:hAnsi="Book Antiqua"/>
          <w:b/>
          <w:sz w:val="24"/>
          <w:szCs w:val="24"/>
        </w:rPr>
        <w:t>Navinal</w:t>
      </w:r>
      <w:proofErr w:type="spellEnd"/>
      <w:r w:rsidR="008C6672" w:rsidRPr="00CD09DB">
        <w:rPr>
          <w:rFonts w:ascii="Book Antiqua" w:hAnsi="Book Antiqua"/>
          <w:b/>
          <w:sz w:val="24"/>
          <w:szCs w:val="24"/>
        </w:rPr>
        <w:t xml:space="preserve"> (Mundra) area of Gujarat for </w:t>
      </w:r>
      <w:proofErr w:type="spellStart"/>
      <w:r w:rsidR="008C6672" w:rsidRPr="00CD09DB">
        <w:rPr>
          <w:rFonts w:ascii="Book Antiqua" w:hAnsi="Book Antiqua"/>
          <w:b/>
          <w:sz w:val="24"/>
          <w:szCs w:val="24"/>
        </w:rPr>
        <w:t>drawal</w:t>
      </w:r>
      <w:proofErr w:type="spellEnd"/>
      <w:r w:rsidR="008C6672" w:rsidRPr="00CD09DB">
        <w:rPr>
          <w:rFonts w:ascii="Book Antiqua" w:hAnsi="Book Antiqua"/>
          <w:b/>
          <w:sz w:val="24"/>
          <w:szCs w:val="24"/>
        </w:rPr>
        <w:t xml:space="preserve"> of power in the area</w:t>
      </w:r>
      <w:r w:rsidR="008C6672" w:rsidRPr="00C94492">
        <w:rPr>
          <w:rFonts w:ascii="Book Antiqua" w:hAnsi="Book Antiqua"/>
          <w:b/>
          <w:sz w:val="24"/>
          <w:szCs w:val="24"/>
        </w:rPr>
        <w:t xml:space="preserve">”. </w:t>
      </w:r>
      <w:r w:rsidR="00183973" w:rsidRPr="00183973">
        <w:rPr>
          <w:rFonts w:ascii="Book Antiqua" w:hAnsi="Book Antiqua"/>
          <w:b/>
          <w:bCs/>
          <w:sz w:val="24"/>
          <w:szCs w:val="24"/>
        </w:rPr>
        <w:t>Spec. No. CTUIL/IE/2025-26/54/R</w:t>
      </w:r>
      <w:r w:rsidR="007335BF">
        <w:rPr>
          <w:rFonts w:ascii="Book Antiqua" w:hAnsi="Book Antiqua"/>
          <w:b/>
          <w:bCs/>
          <w:sz w:val="24"/>
          <w:szCs w:val="24"/>
        </w:rPr>
        <w:t>3</w:t>
      </w:r>
      <w:r w:rsidR="00183973">
        <w:rPr>
          <w:rFonts w:ascii="Book Antiqua" w:hAnsi="Book Antiqua"/>
          <w:b/>
          <w:bCs/>
          <w:sz w:val="24"/>
          <w:szCs w:val="24"/>
        </w:rPr>
        <w:t>.</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2E0427F0"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0B151A">
        <w:rPr>
          <w:rFonts w:ascii="Book Antiqua" w:hAnsi="Book Antiqua"/>
          <w:b/>
          <w:bCs/>
          <w:sz w:val="24"/>
          <w:szCs w:val="24"/>
        </w:rPr>
        <w:t>1</w:t>
      </w:r>
      <w:r w:rsidR="00485069">
        <w:rPr>
          <w:rFonts w:ascii="Book Antiqua" w:hAnsi="Book Antiqua"/>
          <w:b/>
          <w:bCs/>
          <w:sz w:val="24"/>
          <w:szCs w:val="24"/>
        </w:rPr>
        <w:t>2</w:t>
      </w:r>
      <w:r w:rsidR="00D3601C" w:rsidRPr="006A0111">
        <w:rPr>
          <w:rFonts w:ascii="Book Antiqua" w:hAnsi="Book Antiqua"/>
          <w:b/>
          <w:bCs/>
          <w:sz w:val="24"/>
          <w:szCs w:val="24"/>
        </w:rPr>
        <w:t>.</w:t>
      </w:r>
      <w:r w:rsidR="00765E00">
        <w:rPr>
          <w:rFonts w:ascii="Book Antiqua" w:hAnsi="Book Antiqua"/>
          <w:b/>
          <w:bCs/>
          <w:sz w:val="24"/>
          <w:szCs w:val="24"/>
        </w:rPr>
        <w:t>12</w:t>
      </w:r>
      <w:r w:rsidR="00D3601C" w:rsidRPr="006A0111">
        <w:rPr>
          <w:rFonts w:ascii="Book Antiqua" w:hAnsi="Book Antiqua"/>
          <w:b/>
          <w:bCs/>
          <w:sz w:val="24"/>
          <w:szCs w:val="24"/>
        </w:rPr>
        <w:t>.2025</w:t>
      </w:r>
      <w:r w:rsidR="00D3601C">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lastRenderedPageBreak/>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lastRenderedPageBreak/>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even" r:id="rId7"/>
      <w:headerReference w:type="default" r:id="rId8"/>
      <w:headerReference w:type="first" r:id="rId9"/>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CF724" w14:textId="77777777" w:rsidR="009D3C98" w:rsidRDefault="009D3C98">
      <w:pPr>
        <w:spacing w:after="0" w:line="240" w:lineRule="auto"/>
      </w:pPr>
      <w:r>
        <w:separator/>
      </w:r>
    </w:p>
  </w:endnote>
  <w:endnote w:type="continuationSeparator" w:id="0">
    <w:p w14:paraId="669F8A83" w14:textId="77777777" w:rsidR="009D3C98" w:rsidRDefault="009D3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12BE8" w14:textId="77777777" w:rsidR="009D3C98" w:rsidRDefault="009D3C98">
      <w:pPr>
        <w:spacing w:after="0" w:line="240" w:lineRule="auto"/>
      </w:pPr>
      <w:r>
        <w:separator/>
      </w:r>
    </w:p>
  </w:footnote>
  <w:footnote w:type="continuationSeparator" w:id="0">
    <w:p w14:paraId="3FE80178" w14:textId="77777777" w:rsidR="009D3C98" w:rsidRDefault="009D3C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79E86" w14:textId="2501F70D" w:rsidR="00A7169C" w:rsidRDefault="00A7169C">
    <w:pPr>
      <w:pStyle w:val="Header"/>
    </w:pPr>
    <w:r>
      <w:rPr>
        <w:noProof/>
      </w:rPr>
      <mc:AlternateContent>
        <mc:Choice Requires="wps">
          <w:drawing>
            <wp:anchor distT="0" distB="0" distL="0" distR="0" simplePos="0" relativeHeight="251659264" behindDoc="0" locked="0" layoutInCell="1" allowOverlap="1" wp14:anchorId="576F6C10" wp14:editId="51F2FBA5">
              <wp:simplePos x="635" y="635"/>
              <wp:positionH relativeFrom="page">
                <wp:align>center</wp:align>
              </wp:positionH>
              <wp:positionV relativeFrom="page">
                <wp:align>top</wp:align>
              </wp:positionV>
              <wp:extent cx="2298700" cy="485140"/>
              <wp:effectExtent l="0" t="0" r="6350" b="10160"/>
              <wp:wrapNone/>
              <wp:docPr id="412990352"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85140"/>
                      </a:xfrm>
                      <a:prstGeom prst="rect">
                        <a:avLst/>
                      </a:prstGeom>
                      <a:noFill/>
                      <a:ln>
                        <a:noFill/>
                      </a:ln>
                    </wps:spPr>
                    <wps:txbx>
                      <w:txbxContent>
                        <w:p w14:paraId="6E8C66FF" w14:textId="1B582AD7" w:rsidR="00A7169C" w:rsidRPr="00A7169C" w:rsidRDefault="00A7169C" w:rsidP="00A7169C">
                          <w:pPr>
                            <w:spacing w:after="0"/>
                            <w:rPr>
                              <w:rFonts w:ascii="Calibri" w:eastAsia="Calibri" w:hAnsi="Calibri" w:cs="Calibri"/>
                              <w:noProof/>
                              <w:color w:val="FF0000"/>
                              <w:sz w:val="24"/>
                              <w:szCs w:val="24"/>
                            </w:rPr>
                          </w:pPr>
                          <w:r w:rsidRPr="00A7169C">
                            <w:rPr>
                              <w:rFonts w:ascii="Calibri" w:eastAsia="Calibri" w:hAnsi="Calibri" w:cs="Calibri"/>
                              <w:noProof/>
                              <w:color w:val="FF0000"/>
                              <w:sz w:val="24"/>
                              <w:szCs w:val="24"/>
                              <w:cs/>
                              <w:lang w:bidi="hi-IN"/>
                            </w:rPr>
                            <w:t>डेटा वर्गीकरण : प्रतिबंधित/</w:t>
                          </w:r>
                          <w:r w:rsidRPr="00A7169C">
                            <w:rPr>
                              <w:rFonts w:ascii="Calibri" w:eastAsia="Calibri" w:hAnsi="Calibri" w:cs="Calibri"/>
                              <w:noProof/>
                              <w:color w:val="FF0000"/>
                              <w:sz w:val="24"/>
                              <w:szCs w:val="24"/>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76F6C10"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8.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" filled="f" stroked="f">
              <v:textbox style="mso-fit-shape-to-text:t" inset="0,15pt,0,0">
                <w:txbxContent>
                  <w:p w14:paraId="6E8C66FF" w14:textId="1B582AD7" w:rsidR="00A7169C" w:rsidRPr="00A7169C" w:rsidRDefault="00A7169C" w:rsidP="00A7169C">
                    <w:pPr>
                      <w:spacing w:after="0"/>
                      <w:rPr>
                        <w:rFonts w:ascii="Calibri" w:eastAsia="Calibri" w:hAnsi="Calibri" w:cs="Calibri"/>
                        <w:noProof/>
                        <w:color w:val="FF0000"/>
                        <w:sz w:val="24"/>
                        <w:szCs w:val="24"/>
                      </w:rPr>
                    </w:pPr>
                    <w:r w:rsidRPr="00A7169C">
                      <w:rPr>
                        <w:rFonts w:ascii="Calibri" w:eastAsia="Calibri" w:hAnsi="Calibri" w:cs="Calibri"/>
                        <w:noProof/>
                        <w:color w:val="FF0000"/>
                        <w:sz w:val="24"/>
                        <w:szCs w:val="24"/>
                        <w:cs/>
                        <w:lang w:bidi="hi-IN"/>
                      </w:rPr>
                      <w:t>डेटा वर्गीकरण : प्रतिबंधित/</w:t>
                    </w:r>
                    <w:r w:rsidRPr="00A7169C">
                      <w:rPr>
                        <w:rFonts w:ascii="Calibri" w:eastAsia="Calibri" w:hAnsi="Calibri" w:cs="Calibri"/>
                        <w:noProof/>
                        <w:color w:val="FF0000"/>
                        <w:sz w:val="24"/>
                        <w:szCs w:val="24"/>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60C4E" w14:textId="77777777" w:rsidR="001A337C" w:rsidRDefault="001A337C" w:rsidP="001A337C">
    <w:pPr>
      <w:spacing w:after="0" w:line="240" w:lineRule="auto"/>
      <w:jc w:val="right"/>
      <w:rPr>
        <w:rFonts w:ascii="Book Antiqua" w:eastAsia="Times New Roman" w:hAnsi="Book Antiqua" w:cs="Times New Roman"/>
        <w:b/>
        <w:sz w:val="24"/>
        <w:szCs w:val="24"/>
      </w:rPr>
    </w:pPr>
    <w:r w:rsidRPr="0019754B">
      <w:rPr>
        <w:rFonts w:ascii="Book Antiqua" w:eastAsia="Times New Roman" w:hAnsi="Book Antiqua" w:cs="Times New Roman"/>
        <w:b/>
        <w:sz w:val="24"/>
        <w:szCs w:val="24"/>
      </w:rPr>
      <w:t xml:space="preserve">Annexure-I to Section-III_QR </w:t>
    </w:r>
  </w:p>
  <w:p w14:paraId="4E72BB8A" w14:textId="77777777" w:rsidR="001A337C" w:rsidRPr="00B12824" w:rsidRDefault="001A337C" w:rsidP="001A337C">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sz w:val="24"/>
        <w:szCs w:val="24"/>
      </w:rPr>
      <w:t>5</w:t>
    </w:r>
    <w:r w:rsidRPr="00B12824">
      <w:rPr>
        <w:rFonts w:ascii="Book Antiqua" w:eastAsia="Times New Roman" w:hAnsi="Book Antiqua" w:cs="Times New Roman"/>
        <w:b/>
        <w:sz w:val="24"/>
        <w:szCs w:val="24"/>
      </w:rPr>
      <w:fldChar w:fldCharType="end"/>
    </w:r>
  </w:p>
  <w:p w14:paraId="7289579B" w14:textId="77777777" w:rsidR="00D3601C" w:rsidRPr="00111A18" w:rsidRDefault="00D3601C">
    <w:pPr>
      <w:pStyle w:val="Header"/>
      <w:rPr>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DBFB7" w14:textId="5F0B272D" w:rsidR="00A7169C" w:rsidRDefault="00A7169C">
    <w:pPr>
      <w:pStyle w:val="Header"/>
    </w:pPr>
    <w:r>
      <w:rPr>
        <w:noProof/>
      </w:rPr>
      <mc:AlternateContent>
        <mc:Choice Requires="wps">
          <w:drawing>
            <wp:anchor distT="0" distB="0" distL="0" distR="0" simplePos="0" relativeHeight="251658240" behindDoc="0" locked="0" layoutInCell="1" allowOverlap="1" wp14:anchorId="49EAD984" wp14:editId="5B79855A">
              <wp:simplePos x="635" y="635"/>
              <wp:positionH relativeFrom="page">
                <wp:align>center</wp:align>
              </wp:positionH>
              <wp:positionV relativeFrom="page">
                <wp:align>top</wp:align>
              </wp:positionV>
              <wp:extent cx="2298700" cy="485140"/>
              <wp:effectExtent l="0" t="0" r="6350" b="10160"/>
              <wp:wrapNone/>
              <wp:docPr id="12350729"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85140"/>
                      </a:xfrm>
                      <a:prstGeom prst="rect">
                        <a:avLst/>
                      </a:prstGeom>
                      <a:noFill/>
                      <a:ln>
                        <a:noFill/>
                      </a:ln>
                    </wps:spPr>
                    <wps:txbx>
                      <w:txbxContent>
                        <w:p w14:paraId="27A5E7F7" w14:textId="22C0ACD9" w:rsidR="00A7169C" w:rsidRPr="00A7169C" w:rsidRDefault="00A7169C" w:rsidP="00A7169C">
                          <w:pPr>
                            <w:spacing w:after="0"/>
                            <w:rPr>
                              <w:rFonts w:ascii="Calibri" w:eastAsia="Calibri" w:hAnsi="Calibri" w:cs="Calibri"/>
                              <w:noProof/>
                              <w:color w:val="FF0000"/>
                              <w:sz w:val="24"/>
                              <w:szCs w:val="24"/>
                            </w:rPr>
                          </w:pPr>
                          <w:r w:rsidRPr="00A7169C">
                            <w:rPr>
                              <w:rFonts w:ascii="Calibri" w:eastAsia="Calibri" w:hAnsi="Calibri" w:cs="Calibri"/>
                              <w:noProof/>
                              <w:color w:val="FF0000"/>
                              <w:sz w:val="24"/>
                              <w:szCs w:val="24"/>
                              <w:cs/>
                              <w:lang w:bidi="hi-IN"/>
                            </w:rPr>
                            <w:t>डेटा वर्गीकरण : प्रतिबंधित/</w:t>
                          </w:r>
                          <w:r w:rsidRPr="00A7169C">
                            <w:rPr>
                              <w:rFonts w:ascii="Calibri" w:eastAsia="Calibri" w:hAnsi="Calibri" w:cs="Calibri"/>
                              <w:noProof/>
                              <w:color w:val="FF0000"/>
                              <w:sz w:val="24"/>
                              <w:szCs w:val="24"/>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9EAD984" id="_x0000_t202" coordsize="21600,21600" o:spt="202" path="m,l,21600r21600,l21600,xe">
              <v:stroke joinstyle="miter"/>
              <v:path gradientshapeok="t" o:connecttype="rect"/>
            </v:shapetype>
            <v:shape id="Text Box 1" o:spid="_x0000_s1027" type="#_x0000_t202" alt="डेटा वर्गीकरण : प्रतिबंधित/RESTRICTED" style="position:absolute;margin-left:0;margin-top:0;width:181pt;height:38.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" filled="f" stroked="f">
              <v:textbox style="mso-fit-shape-to-text:t" inset="0,15pt,0,0">
                <w:txbxContent>
                  <w:p w14:paraId="27A5E7F7" w14:textId="22C0ACD9" w:rsidR="00A7169C" w:rsidRPr="00A7169C" w:rsidRDefault="00A7169C" w:rsidP="00A7169C">
                    <w:pPr>
                      <w:spacing w:after="0"/>
                      <w:rPr>
                        <w:rFonts w:ascii="Calibri" w:eastAsia="Calibri" w:hAnsi="Calibri" w:cs="Calibri"/>
                        <w:noProof/>
                        <w:color w:val="FF0000"/>
                        <w:sz w:val="24"/>
                        <w:szCs w:val="24"/>
                      </w:rPr>
                    </w:pPr>
                    <w:r w:rsidRPr="00A7169C">
                      <w:rPr>
                        <w:rFonts w:ascii="Calibri" w:eastAsia="Calibri" w:hAnsi="Calibri" w:cs="Calibri"/>
                        <w:noProof/>
                        <w:color w:val="FF0000"/>
                        <w:sz w:val="24"/>
                        <w:szCs w:val="24"/>
                        <w:cs/>
                        <w:lang w:bidi="hi-IN"/>
                      </w:rPr>
                      <w:t>डेटा वर्गीकरण : प्रतिबंधित/</w:t>
                    </w:r>
                    <w:r w:rsidRPr="00A7169C">
                      <w:rPr>
                        <w:rFonts w:ascii="Calibri" w:eastAsia="Calibri" w:hAnsi="Calibri" w:cs="Calibri"/>
                        <w:noProof/>
                        <w:color w:val="FF0000"/>
                        <w:sz w:val="24"/>
                        <w:szCs w:val="24"/>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190805264">
    <w:abstractNumId w:val="3"/>
  </w:num>
  <w:num w:numId="2" w16cid:durableId="1253589886">
    <w:abstractNumId w:val="0"/>
  </w:num>
  <w:num w:numId="3" w16cid:durableId="1435399033">
    <w:abstractNumId w:val="2"/>
  </w:num>
  <w:num w:numId="4" w16cid:durableId="7014449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B151A"/>
    <w:rsid w:val="000E18BE"/>
    <w:rsid w:val="000E274E"/>
    <w:rsid w:val="00153B8D"/>
    <w:rsid w:val="00183973"/>
    <w:rsid w:val="001A337C"/>
    <w:rsid w:val="00230774"/>
    <w:rsid w:val="00240C48"/>
    <w:rsid w:val="002764E7"/>
    <w:rsid w:val="002A7B7D"/>
    <w:rsid w:val="00313D89"/>
    <w:rsid w:val="0035342A"/>
    <w:rsid w:val="00382222"/>
    <w:rsid w:val="003D232A"/>
    <w:rsid w:val="003D7B85"/>
    <w:rsid w:val="003F4EA1"/>
    <w:rsid w:val="00410FD0"/>
    <w:rsid w:val="00474537"/>
    <w:rsid w:val="00485062"/>
    <w:rsid w:val="00485069"/>
    <w:rsid w:val="004E7975"/>
    <w:rsid w:val="00581BE0"/>
    <w:rsid w:val="005D6AB4"/>
    <w:rsid w:val="00643B37"/>
    <w:rsid w:val="00646C66"/>
    <w:rsid w:val="00667971"/>
    <w:rsid w:val="00680A24"/>
    <w:rsid w:val="006A0111"/>
    <w:rsid w:val="006A0A1B"/>
    <w:rsid w:val="006F557A"/>
    <w:rsid w:val="0070481D"/>
    <w:rsid w:val="00705465"/>
    <w:rsid w:val="007335BF"/>
    <w:rsid w:val="00740FE6"/>
    <w:rsid w:val="00765E00"/>
    <w:rsid w:val="00854B70"/>
    <w:rsid w:val="008A6429"/>
    <w:rsid w:val="008B49B6"/>
    <w:rsid w:val="008C6672"/>
    <w:rsid w:val="008E5F71"/>
    <w:rsid w:val="00936A7F"/>
    <w:rsid w:val="00954C6D"/>
    <w:rsid w:val="00961F62"/>
    <w:rsid w:val="009644A6"/>
    <w:rsid w:val="009842D9"/>
    <w:rsid w:val="009854AB"/>
    <w:rsid w:val="009D3C98"/>
    <w:rsid w:val="009F7EAD"/>
    <w:rsid w:val="00A7169C"/>
    <w:rsid w:val="00AF5D9C"/>
    <w:rsid w:val="00B46198"/>
    <w:rsid w:val="00B65D47"/>
    <w:rsid w:val="00B908D8"/>
    <w:rsid w:val="00BA360D"/>
    <w:rsid w:val="00C20355"/>
    <w:rsid w:val="00C300DA"/>
    <w:rsid w:val="00C530C7"/>
    <w:rsid w:val="00CA7A7D"/>
    <w:rsid w:val="00CC44C9"/>
    <w:rsid w:val="00D03FF1"/>
    <w:rsid w:val="00D3601C"/>
    <w:rsid w:val="00E120FB"/>
    <w:rsid w:val="00E1551F"/>
    <w:rsid w:val="00E252ED"/>
    <w:rsid w:val="00E35630"/>
    <w:rsid w:val="00E928F8"/>
    <w:rsid w:val="00EA5545"/>
    <w:rsid w:val="00EC4AC4"/>
    <w:rsid w:val="00ED7795"/>
    <w:rsid w:val="00EF5CFC"/>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1262</Words>
  <Characters>6770</Characters>
  <Application>Microsoft Office Word</Application>
  <DocSecurity>0</DocSecurity>
  <Lines>398</Lines>
  <Paragraphs>157</Paragraphs>
  <ScaleCrop>false</ScaleCrop>
  <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Akhil Dubey {}</cp:lastModifiedBy>
  <cp:revision>31</cp:revision>
  <cp:lastPrinted>2025-11-28T06:43:00Z</cp:lastPrinted>
  <dcterms:created xsi:type="dcterms:W3CDTF">2023-10-17T11:52:00Z</dcterms:created>
  <dcterms:modified xsi:type="dcterms:W3CDTF">2025-11-28T06:43:00Z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bc7509,189dbb90,49196fe6</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2025-07-24T06:38:36Z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a5836c6f-99c3-4c43-8175-fcbebe36730e</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